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деятельности за 1 полугодие 2025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(Госавианадзор)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МТУ Ространснадзора по СЗФО осуществляет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11 субъектов Российской Федерации Северо-Западного федерального округа: Архангельская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Вологодская область, Калининградская область, Республика Карелия, Республика Коми, Ленинградская область, Мурманская область, Ненецкий автономный округ, Новгородская область, Псковская область, город Санкт-Петербург. Центр округа — город Санкт-Петербург.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Управления по направлению Госавианадзора штатная – 45, фактически – 37; укомплектованность штатных должностей – 83%.(аппг 80%)</w:t>
      </w:r>
      <w:r>
        <w:rPr>
          <w:rFonts w:ascii="Times New Roman" w:hAnsi="Times New Roman" w:cs="Times New Roman"/>
          <w:sz w:val="28"/>
          <w:szCs w:val="28"/>
          <w:highlight w:val="red"/>
        </w:rPr>
      </w:r>
      <w:r>
        <w:rPr>
          <w:rFonts w:ascii="Times New Roman" w:hAnsi="Times New Roman" w:cs="Times New Roman"/>
          <w:sz w:val="28"/>
          <w:szCs w:val="28"/>
          <w:highlight w:val="red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под контролем (надзором) Управления (в части Госавианадзора) находятся: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224 посадочные площадки;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 эксплуатантов, осуществляющих коммерческие воздушные перевозки;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авиационные работы;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авиации общего назначения;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подразделений филиала «Аэронавигация Северо-Запада ФГУП «Госкорпорация по ОрВД (2 Региональных центра ЕС ОрВД и 12 центров ОВД ЕС ОрВД)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 филиала ФГБУ «Авиаметтелеком Росгидромета»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филиал ФГБУ Северное управление по гидрометеорологии и мониторингу окружающей среды «Гидрометеорологическое бюро Череповец»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Северо-Западный региональный центр Аэронавигационной информации (ООО «СЗ РЦАИ»)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34 организаций по техническому обслуживанию ГВС;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 авиационных учебных центров;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 аэродромов;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 операторов ГСМ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 операторов ПОЗ.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(надзорная)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МТУ Ространснадзора по СЗФО по линии Госавианадзора исключена практика проведения плановых проверок с переходом на риск-ориентированный подход. Принцип данного подхода заключается в возможности проведения проверки авиапредприятия только при</w:t>
      </w:r>
      <w:r>
        <w:rPr>
          <w:rFonts w:ascii="Times New Roman" w:hAnsi="Times New Roman" w:cs="Times New Roman"/>
          <w:sz w:val="28"/>
          <w:szCs w:val="28"/>
        </w:rPr>
        <w:t xml:space="preserve"> условии наличия прямой угрозы жизни и здоровью граждан либо при срабатывании индикатора риска. Основное направление деятельности МТУ Ространснадзора по СЗФО заключается в предотвращении возникающих рисков, которые могут привести к негативным последствиям.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контрольно-надзорной деятельности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количества авиационных происшествий;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числа травмированных;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уровня материального ущерба;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-снижение уровня административной нагрузки на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-рост качества профилактических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условий, чтобы пассажиры получали качественные услуги, соответствующие установленным стандартам безопасности и комфорта.</w:t>
      </w:r>
      <w:r>
        <w:rPr>
          <w:rFonts w:ascii="Times New Roman" w:hAnsi="Times New Roman" w:eastAsia="Liberation Sans" w:cs="Times New Roman"/>
          <w:color w:val="ffffff"/>
          <w:spacing w:val="-5"/>
          <w:sz w:val="28"/>
          <w:szCs w:val="28"/>
        </w:rPr>
        <w:t xml:space="preserve"> установленным стандартам безопасности и комфорта.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2025 год инспекторским составом проведено 2 контрольных (надзорных) мероприятий со взаимодействием с контролируемым лицом;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0 - Плановых (АППГ 0)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внеплановых проверки, выдано 7 предписаний по 7 нарушениям. (за АППГ было проведено 3 внеплановых проверки, выдано 4 предписания по 4 нарушениям).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347989" cy="3842840"/>
            <wp:effectExtent l="4762" t="4762" r="4762" b="47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режимы государственного контроля (надзора)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Специальные режимы государственного контроля и надзора проводятся для обеспечения соблю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дения законодательства, предотвращения правонарушений и защиты прав и законных интересов граждан и организаций. В 2025 году произошло существенное увеличение количества проведенных мероприятий по сравнению с аппг. Выдано 115 предписаний по 234 нарушениям.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373"/>
        <w:gridCol w:w="2373"/>
        <w:gridCol w:w="2373"/>
      </w:tblGrid>
      <w:tr>
        <w:tblPrEx/>
        <w:trPr>
          <w:jc w:val="center"/>
          <w:trHeight w:val="806"/>
        </w:trPr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( 2кв)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"+"/"-" 2025 к 2024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+34%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транспортных средств,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+34%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объекты транспортной инфраструктуры,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+34%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предписаний (нарушений)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(234)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drawing>
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<wp:simplePos x="0" y="0"/>
            <wp:positionH relativeFrom="column">
              <wp:posOffset>212079</wp:posOffset>
            </wp:positionH>
            <wp:positionV relativeFrom="paragraph">
              <wp:posOffset>4762</wp:posOffset>
            </wp:positionV>
            <wp:extent cx="5791204" cy="4148152"/>
            <wp:effectExtent l="4762" t="4762" r="4762" b="4762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2025 году произошло значительное увеличение количества проведенных мероприятий, включая транспортные средства и объекты транспортной инфраструктуры, по сравнению с 2024 годом.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42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истекший период 2025 года в части по обеспечению доступности объектов транспортной инфраструктуры для граждан из числа инвалидов проведен 3 постоянных рейда, 4 выездных обследования, 3 наблюдения за 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обязательных требований. В ходе контрольно-надзорных мероприятий  было выдано  2 предписания по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нарушения, объявлено 4 предостережения.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законным ценностям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требованиями 248 Федерального закона (от 31.07.2020 «О государственном контроле (надзоре) и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Федерации») и Постановления Правительства Российской Федерации №1064 от 30.06.2021 «Об утверждении Положения о федеральном государственном контроле (надзоре) в области гражданской авиации» профилактические мероприятия подразделяются: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ab/>
        <w:t xml:space="preserve">Объявление предостережения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Самообследование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Меры стимулирования добросовестности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введен Постановлением Правительства РФ от 25.03.2025 N 363)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</w:t>
      </w:r>
      <w:r>
        <w:rPr>
          <w:rFonts w:ascii="Times New Roman" w:hAnsi="Times New Roman" w:cs="Times New Roman"/>
          <w:sz w:val="28"/>
          <w:szCs w:val="28"/>
        </w:rPr>
        <w:t xml:space="preserve">еда охраняемым законом ценностям в контрольно-надзорной деятельности является важной задачей для обеспечения безопасности и правопорядка. Она включает в себя различные меры и этапы, направленные на минимизацию угроз и предотвращение негативных последствий.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подход к профилактике рисков позволит не только снизить вероятность причинения вреда охраняемым законом ценностям, но и повысить уровень доверия общества к механизмам государственного контроля и надзора.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64"/>
      </w:tblGrid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(2 кв)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2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"+"/"-" 2025 к 2024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Информирование, 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-93%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предостережения, 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-61%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Консультирование, 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-16%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визит, 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-50%</w:t>
            </w:r>
            <w:r/>
          </w:p>
        </w:tc>
      </w:tr>
      <w:tr>
        <w:tblPrEx/>
        <w:trPr>
          <w:jc w:val="center"/>
          <w:trHeight w:val="806"/>
        </w:trPr>
        <w:tc>
          <w:tcPr>
            <w:shd w:val="clear" w:color="auto" w:fill="auto"/>
            <w:tcW w:w="226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обязательных ПВ,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22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-50%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6429397" cy="3829045"/>
            <wp:effectExtent l="4762" t="4762" r="4762" b="4762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профилактических мероприятий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предотвращение ущерба и повышение уровня безопасности и устойчивости транспортной системы в сфере гражданской авиации и использования воздушного пространства;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законодательства Российской Федерации субъектами контроля (надзора);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административной нагрузки на субъекты контроля (надзора);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нарушений юридическими лицами и индивидуальными предпринимателями;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осуществления контрольно-надзорной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соблюдения нормативных требований: 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ерез информирование, консультирование и профилактические визиты подконтрольные лица получают четкое понимание своих обязанностей и правил, что способствует повышению уровня их соответствия требованиям законодательства.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практика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291"/>
        <w:gridCol w:w="2291"/>
        <w:gridCol w:w="2291"/>
      </w:tblGrid>
      <w:tr>
        <w:tblPrEx/>
        <w:trPr>
          <w:jc w:val="center"/>
          <w:trHeight w:val="1053"/>
        </w:trPr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"+"/"-" 2025 к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53"/>
        </w:trPr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вынесенных постановлений о привлечении к административной ответственности,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-39%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53"/>
        </w:trPr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исполненных постановлений, вынесенных сотрудниками Ространснадзора о привлечении к административной ответственности,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-43%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53"/>
        </w:trPr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Общая сумма наложенных штрафов - всего, тыс. руб.: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1302,0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-34%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53"/>
        </w:trPr>
        <w:tc>
          <w:tcPr>
            <w:shd w:val="clear" w:color="auto" w:fill="auto"/>
            <w:tcW w:w="22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Сумма взысканных (уплаченных) штрафов, тыс. рублей: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830,0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419,5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-49%</w:t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6581785" cy="3952874"/>
            <wp:effectExtent l="4762" t="4762" r="4762" b="4762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Проведенный анализ применения статей КоАП РФ показывает, что наиболее часто фиксируются нарушения: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1.ст. 11.4 ч.1 – Нарушение пользователем воздушного пространства федеральных правил использования воздушного пространства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ст. 11.4 ч.2 –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3.ст. 11.5 ч.5 –Управление воздушным судном, не прошедшим государственной регистрации, либо не поставленным на государственный 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ет, либо не имеющим государственного и регистрационного опознавательных знаков или учетного опознавательного знака, либо имеющим заведомо подложные государственный и регистрационный опознавательные знаки или заведомо подложный учетный опознавательный знак.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Наиболее распространенными нарушениями являются нарушения правил использования воздушного пространства пользователями беспилотных воздушных судов (далее – БВС), связанные с отсутствием уведомления органов обслуживания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оздушного движения (управления полетами) о своей деятельности, с использованием воздушного пространства в отсутствие плана полета и соответствующего разрешения, а также не прошедшим государственной регистрации, либо не поставленным на государственный учет.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Выявленные нарушения при проведении контрольно (надзорных)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8"/>
        <w:numPr>
          <w:ilvl w:val="0"/>
          <w:numId w:val="16"/>
        </w:numPr>
        <w:ind w:left="142" w:right="0" w:hanging="360"/>
        <w:jc w:val="both"/>
        <w:spacing w:line="36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журнале регистрации вертолёта Ми-171А2 RA-25234 были выявлены нарушения в оформлении и ведении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пономерной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технической документации. В частности, в разделе 13.1 на странице 305 «Учет выполненных работ» были зафиксированы случаи некорректного исправления ошибочных записей, что противоречит установленным требованиям.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Основание: нарушены требования пункта 42, 43 Федеральных авиационных правил «Федеральных а</w:t>
      </w:r>
      <w:r>
        <w:rPr>
          <w:rFonts w:ascii="Times New Roman" w:hAnsi="Times New Roman" w:cs="Times New Roman"/>
          <w:sz w:val="28"/>
          <w:szCs w:val="28"/>
        </w:rPr>
        <w:t xml:space="preserve">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</w:t>
      </w:r>
      <w:r>
        <w:rPr>
          <w:rFonts w:ascii="Times New Roman" w:hAnsi="Times New Roman" w:cs="Times New Roman"/>
          <w:sz w:val="28"/>
          <w:szCs w:val="28"/>
        </w:rPr>
        <w:t xml:space="preserve">ям федеральных авиационных правил. Порядок приостановления действия, введение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правил», утв</w:t>
      </w:r>
      <w:r>
        <w:rPr>
          <w:rFonts w:ascii="Times New Roman" w:hAnsi="Times New Roman" w:cs="Times New Roman"/>
          <w:sz w:val="28"/>
          <w:szCs w:val="28"/>
        </w:rPr>
        <w:t xml:space="preserve">ерждённые приказом Министерством транспорта Российской Федерации от 12.01.2022 № 10,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spacing w:line="36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i/>
          <w:iCs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 w:eastAsiaTheme="minorEastAsia"/>
          <w:i/>
          <w:i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 w:eastAsiaTheme="minorEastAsia"/>
          <w:i/>
          <w:iCs/>
          <w:sz w:val="28"/>
          <w:szCs w:val="28"/>
        </w:rPr>
        <w:t xml:space="preserve">а момент проверки авиатехник Белов С.М., работающий на участке технического обслуживания воздушных судов в ООО «Северо-Запад Техникс» в аэропорту Внуково, не сдал зачеты по подготовке к осенне-зимнему периоду 2024–2025 года.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нарушены требования подпункта «а» пункта п. 36 Федеральных авиационных правил «Требования к юридическим лицам,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техническое обслуживание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</w:t>
      </w:r>
      <w:r>
        <w:rPr>
          <w:rFonts w:ascii="Times New Roman" w:hAnsi="Times New Roman" w:cs="Times New Roman"/>
          <w:sz w:val="28"/>
          <w:szCs w:val="28"/>
        </w:rPr>
        <w:t xml:space="preserve">ых судов, не осуществляющих коммерческих воздушных перевозок и авиационных работ.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действия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правил», утвержденных приказом Министерства транспорта Российской Федерации от 31.03.2023 № 109.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проведена проверка теоретических знаний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диспетчера КДП Апатиты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Чапаргина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допущенных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приведших к авиационному инциденту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факту влета 26.11.2024 воздушного судна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RRJ-95 RA-89148 АО «Авиакомпания «Россия», выполнявшего рейс SDM 6813 по маршруту Санкт-Петербург – Апатиты, в воздушное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ространство запретной зоны ULP 4 (м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атериалы и отчет по результатам расследования нарушения порядка использования воздушного пространства в зоне ответственности регионального центра ЕС ОрВД (Санкт-Петербург)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исх. № 9271/СЗМТУ от 11.12.2024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далее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авиационн</w:t>
      </w:r>
      <w:r>
        <w:rPr>
          <w:rFonts w:ascii="Times New Roman" w:hAnsi="Times New Roman" w:cs="Times New Roman"/>
          <w:sz w:val="28"/>
          <w:szCs w:val="28"/>
        </w:rPr>
        <w:t xml:space="preserve">ый инцидент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61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нарушены требования п</w:t>
      </w:r>
      <w:r>
        <w:rPr>
          <w:rFonts w:ascii="Times New Roman" w:hAnsi="Times New Roman" w:cs="Times New Roman"/>
          <w:sz w:val="28"/>
          <w:szCs w:val="28"/>
        </w:rPr>
        <w:t xml:space="preserve">унктов 35, 36 Приказа Министерства транспорта РФ от 14.04.2010 № 93 (далее – Приказ МТ РФ № 93).</w:t>
      </w:r>
      <w:r>
        <w:t xml:space="preserve"> </w:t>
      </w:r>
      <w:r/>
    </w:p>
    <w:p>
      <w:pPr>
        <w:pStyle w:val="923"/>
        <w:ind w:firstLine="0"/>
        <w:spacing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проведена проверка практических навыков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диспетчера КДП Апатиты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Чапаргина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диспетчерск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на котором имеется допуск к работе с учетом действующей квалификационной отметки (отметок)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допущенных нарушений, приведших 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авиационн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инцидент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561"/>
        <w:spacing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line="1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нарушены требования пункт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39, 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, 42, 43, 44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МТ РФ № 93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 w:after="0" w:afterAutospacing="0" w:line="17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-на протяженности ИВПП имеются продукты разрушения покрытия, оголенные стержни арматуры, уступы высотой более 25 мм, сколы кромок плит, участки шелушения покрытия более 25 мм.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349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18"/>
        <w:numPr>
          <w:ilvl w:val="0"/>
          <w:numId w:val="20"/>
        </w:numPr>
        <w:ind w:right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нарушены требования п. 2.37 ФАП-262.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 покрытии перрона и РД «А» имеются сколы кромок плит, трещины шириной более 30 м, участки шелушения покрытия.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18"/>
        <w:numPr>
          <w:ilvl w:val="0"/>
          <w:numId w:val="21"/>
        </w:numPr>
        <w:ind w:right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нарушены требования п. 2.40 ФАП-262.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 поверхности перрона номера мест стоянок воздушных судов нанесены на расстоянии 5 м впереди Т-образного знака.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18"/>
        <w:numPr>
          <w:ilvl w:val="0"/>
          <w:numId w:val="22"/>
        </w:numPr>
        <w:ind w:right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нарушены требования п. 4.35 ФАП-262.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 поверхности перрона номера мест стоянок воздушных судов не соответствуют требованиям ФАП-262.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435" w:right="0" w:firstLine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918"/>
        <w:numPr>
          <w:ilvl w:val="0"/>
          <w:numId w:val="23"/>
        </w:numPr>
        <w:ind w:right="0"/>
        <w:jc w:val="both"/>
        <w:spacing w:after="0" w:line="17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нарушены требования п.4.33 ФАП-262.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0"/>
        <w:spacing w:line="170" w:lineRule="atLeas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6)-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05.2025 осмотра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RRJ</w:t>
      </w:r>
      <w:r>
        <w:rPr>
          <w:rFonts w:ascii="Times New Roman" w:hAnsi="Times New Roman" w:cs="Times New Roman"/>
          <w:sz w:val="28"/>
          <w:szCs w:val="28"/>
        </w:rPr>
        <w:t xml:space="preserve">-100-95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89057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</w:t>
      </w:r>
      <w:r>
        <w:rPr>
          <w:rFonts w:ascii="Times New Roman" w:hAnsi="Times New Roman" w:cs="Times New Roman"/>
          <w:sz w:val="28"/>
          <w:szCs w:val="28"/>
        </w:rPr>
        <w:t xml:space="preserve">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вреждение (обрыв</w:t>
      </w:r>
      <w:r>
        <w:rPr>
          <w:rFonts w:ascii="Times New Roman" w:hAnsi="Times New Roman" w:cs="Times New Roman"/>
          <w:sz w:val="28"/>
          <w:szCs w:val="28"/>
        </w:rPr>
        <w:t xml:space="preserve">) металлизации створки передней стойки шасси</w:t>
      </w:r>
      <w:r>
        <w:rPr>
          <w:rFonts w:ascii="Times New Roman" w:hAnsi="Times New Roman" w:cs="Times New Roman"/>
          <w:sz w:val="28"/>
          <w:szCs w:val="28"/>
        </w:rPr>
        <w:t xml:space="preserve"> слева и справа.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45"/>
        <w:spacing w:line="170" w:lineRule="atLeas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нарушены требования: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45"/>
        <w:spacing w:line="170" w:lineRule="atLeas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>
        <w:rPr>
          <w:rFonts w:ascii="Times New Roman" w:hAnsi="Times New Roman" w:cs="Times New Roman"/>
          <w:sz w:val="28"/>
          <w:szCs w:val="28"/>
        </w:rPr>
        <w:t xml:space="preserve">2.28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авиационных правил 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выполнение полетов в гражданской авиации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утверждённых приказом Минтранса России от </w:t>
      </w:r>
      <w:r>
        <w:rPr>
          <w:rFonts w:ascii="Times New Roman" w:hAnsi="Times New Roman" w:cs="Times New Roman"/>
          <w:sz w:val="28"/>
          <w:szCs w:val="28"/>
        </w:rPr>
        <w:t xml:space="preserve">31 июля 2009 г. N 128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СОСТОЯНИЕ БЕЗОПАСНОСТИ ПОЛЕТОВ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своей деятельности МТУ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остранснадзора по СЗФО руководствуется проактивным подходом, направленным в первую очередь на недопущение авиационных происшествий. С этой целью Управление на постоянной основе осуществляет анализ состояния безопасности полетов гражданской авиации, обеспеч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ивает взаимодействие с МТУ Росавиации по СЗФО, проводит мониторинг информационных ресурсов органов государственной власти, средств массовой информации, открытых источников в сети «Интернет». По состоянию на 30.06.2025г. Госавианадзором приняты на контроль:</w:t>
      </w:r>
      <w:r>
        <w:rPr>
          <w:rFonts w:ascii="Times New Roman" w:hAnsi="Times New Roman" w:cs="Times New Roman"/>
          <w:bCs/>
          <w:iCs/>
          <w:sz w:val="28"/>
          <w:szCs w:val="28"/>
        </w:rPr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"+"/"-" 2024 к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Авиационных инцидентов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+6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Серьёзный инцидент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+1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+1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Повреждений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НПИВП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+2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Катастрофы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Погибших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6296132" cy="3242924"/>
            <wp:effectExtent l="4762" t="4762" r="4762" b="4762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Проблемным вопросом на сегодняшний день остается безопасность полетов. </w:t>
      </w:r>
      <w:r>
        <w:rPr>
          <w:rFonts w:ascii="Times New Roman" w:hAnsi="Times New Roman" w:cs="Times New Roman"/>
          <w:sz w:val="28"/>
          <w:szCs w:val="28"/>
        </w:rPr>
        <w:t xml:space="preserve">К большому сожалению,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году уровень аварийности остался на прежнем уровне. </w:t>
      </w:r>
      <w:r>
        <w:rPr>
          <w:rFonts w:ascii="Times New Roman" w:hAnsi="Times New Roman" w:cs="Times New Roman"/>
          <w:sz w:val="28"/>
          <w:szCs w:val="28"/>
        </w:rPr>
        <w:t xml:space="preserve">Произошло 4 авиационных происшествия, 2 аварии и 2 катастрофы. Погибло 5 человек. (за АППГ-23 произошло 2 аварии и 2 катастрофы, погибло 3 человека.)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уровень аварийности остался на прежнем уровне, по сравнению с аппг. За истекший период произошло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авиационн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28.05.2025 произошло авиационное происшествие с самолетом Дельфин-3 RA-0539G.Воздушное судно совершило аварийную посадку на воду в районе острова Котлин в Кронштадте г. Санкт-Петербург. </w:t>
      </w:r>
      <w:r>
        <w:rPr>
          <w:rFonts w:ascii="Times New Roman" w:hAnsi="Times New Roman" w:cs="Times New Roman"/>
          <w:sz w:val="28"/>
          <w:szCs w:val="28"/>
        </w:rPr>
        <w:t xml:space="preserve">Владелец   частного лицо. Находившиеся на борту пилот и пассажир не пострадали. Воздушное судно имеет повреждения. Межгосударственный авиационный комитет сформировал комиссию по расследованию данного авиационного происшествия. Комиссия приступила к работе.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12.06.2025 </w:t>
      </w:r>
      <w:r>
        <w:rPr>
          <w:rFonts w:ascii="Times New Roman" w:hAnsi="Times New Roman" w:cs="Times New Roman"/>
          <w:sz w:val="28"/>
          <w:szCs w:val="28"/>
        </w:rPr>
        <w:t xml:space="preserve">произошло авиационное происшествие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беспилотным </w:t>
      </w:r>
      <w:r>
        <w:rPr>
          <w:rFonts w:ascii="Times New Roman" w:hAnsi="Times New Roman" w:cs="Times New Roman"/>
          <w:sz w:val="28"/>
          <w:szCs w:val="28"/>
        </w:rPr>
        <w:t xml:space="preserve">ВС </w:t>
      </w:r>
      <w:r>
        <w:rPr>
          <w:rFonts w:ascii="Times New Roman" w:hAnsi="Times New Roman" w:cs="Times New Roman"/>
          <w:sz w:val="28"/>
          <w:szCs w:val="28"/>
        </w:rPr>
        <w:t xml:space="preserve">вертолетного типа </w:t>
      </w:r>
      <w:r>
        <w:rPr>
          <w:rFonts w:ascii="Times New Roman" w:hAnsi="Times New Roman" w:cs="Times New Roman"/>
          <w:sz w:val="28"/>
          <w:szCs w:val="28"/>
        </w:rPr>
        <w:t xml:space="preserve">ВТ-440 RA-057EP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мало</w:t>
      </w: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енецкий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удалении около 4 км северо-западнее н. п</w:t>
      </w:r>
      <w:r>
        <w:rPr>
          <w:rFonts w:ascii="Times New Roman" w:hAnsi="Times New Roman" w:cs="Times New Roman"/>
          <w:sz w:val="28"/>
          <w:szCs w:val="28"/>
        </w:rPr>
        <w:t xml:space="preserve">. Т</w:t>
      </w:r>
      <w:r>
        <w:rPr>
          <w:rFonts w:ascii="Times New Roman" w:hAnsi="Times New Roman" w:cs="Times New Roman"/>
          <w:sz w:val="28"/>
          <w:szCs w:val="28"/>
        </w:rPr>
        <w:t xml:space="preserve">азовский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PT Sans" w:hAnsi="PT Sans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Собственник</w:t>
      </w:r>
      <w:r>
        <w:rPr>
          <w:rFonts w:ascii="PT Sans" w:hAnsi="PT Sans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"НПП "РАДАР ММС".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результате авиационного происшествия воздушное судно уничтожено пожаром.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Межгосударственный авиационный комитет сформировал комиссию по расследованию данного авиационного происшествия. Комиссия приступила к работе.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30.06.2025 принято за 2025 год принято к учету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АИ, 3 САИ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мотря на эффективное внедрение методов управления безопасностью полетов и переход на эксплуатацию современных, высокотехнологичных воздушных судов и средств обеспечения полетов, человеческий фактор по-прежнему остается отправной точкой для разработки мероп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риятий по обеспечению безопасности полетов. Соблюдение правил полетов и эффективная подготовка летного состава являются универсальными условиями для предотвращения авиационных происшествий и повышения безопасности полетов вне зависимости от сезона полетов.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нарушения обязательных требований, угрожающие безопасности полетов гражданских воздушных судов: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несоблюдение нормативов рабочего времени, полетного времени и времени отдыха, а также контроля утомляемости членов экипажей воздушных судов;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допуск к выполнению должностных обязанностей членов экипажей воздушных судов без прохождения обязательной периодической подготовки;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эксплуатация воздушного суда с нарушением требований Руководства по летной эксплуатации и норм, применяемых для установления эксплуатационных ограничений летно-технических характеристик;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нарушение технологии выполнения технического обслуживания воздушных судов, установленной эксплуатационными документами;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полеты воздушных судов в воздушном пространстве класса G, осуществляемые без заявок и уведомления органов ОрВД;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авиационные работы, парашютные прыжки, демонстрационные полеты воздушных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судов, полеты беспилотных воздушных судов,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попадание в зону опасных метеоявлений.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тенденций изменения статистических данных и факторов, приводящих к авиационным происшествиями, инцидентам и производственным происшествиями, наиболее актуальными являются мероприятия, включающие в себя: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соблюдение правил визуальных полетов, поддержание навыков, необходимых для перехода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полета по ПВП к полету по ППП при выполнении полетов на вертолетах и легких самолетах в условиях ухудшения метеорологических условий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соблюдение требований по содержанию искусственных покрытий в состоянии, минимизирующим риски выкатывания с искусственного покрытия при посадке или потери управления воздушным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удном при движении по земле, в том числе увеличение, когда это необходимо, частоты контроля состояния искусственного покрытия, а также принятие решений о временном прекращении полетов при невозможности обеспечить безопасные условия использования аэродрома;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актуализация аэронавигационной информации, анализ особенностей дневной маркировки и светосигнального оборудования аэродрома, предназначенных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предотвращения несанкционированного занятия рабочей ВПП и ошибочного использования незаданной ВПП или рулежной дорожки;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оценку рисков, являющихся следствием повторяющих отказов силовой установки или систем воздушного судна (системы управления, трансмиссии вертолетов, системы кондиционирования воздуха, шасси, пилотажно-навигационного оборудования, системы электроснабжения).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Выводы, предложения, рекомендации.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представленных данных и проведенного анализа можно сформулировать следующие выводы, предложения и рекомендации: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1.Постоянный контроль состояния парка воздушных судов в авиационных компаниях, регулярное обновление на более современные модели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Строгий контроль сроков эксплуатации и технического обслуживания авиатехники.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Требует решения проблема подготовки квалифицированных авиационных специалистов по эксплуатации БВС, необходимость разработки требований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br/>
        <w:t xml:space="preserve">к программе подготовки внешних пилотов БВС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.Проведение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регулярных курсов повышения квалификации пилотов, диспетчеров и обслуживающего персонала.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pStyle w:val="921"/>
        <w:spacing w:before="0" w:beforeAutospacing="0" w:after="0" w:afterAutospacing="0"/>
        <w:rPr>
          <w:rStyle w:val="922"/>
          <w:spacing w:val="-5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</w:t>
      </w:r>
      <w:r>
        <w:rPr>
          <w:rFonts w:eastAsia="Calibri"/>
          <w:color w:val="000000"/>
          <w:sz w:val="28"/>
          <w:szCs w:val="28"/>
        </w:rPr>
        <w:t xml:space="preserve">.</w:t>
      </w:r>
      <w:r>
        <w:rPr>
          <w:rStyle w:val="922"/>
          <w:spacing w:val="-5"/>
          <w:sz w:val="28"/>
          <w:szCs w:val="28"/>
        </w:rPr>
        <w:t xml:space="preserve"> </w:t>
      </w:r>
      <w:r>
        <w:rPr>
          <w:rStyle w:val="922"/>
          <w:spacing w:val="-5"/>
          <w:sz w:val="28"/>
          <w:szCs w:val="28"/>
        </w:rPr>
        <w:t xml:space="preserve">Проведение тренировок на тренажёрах для отработки действий в нестандартных ситуациях.</w:t>
      </w:r>
      <w:r>
        <w:rPr>
          <w:rStyle w:val="922"/>
          <w:spacing w:val="-5"/>
          <w:sz w:val="28"/>
          <w:szCs w:val="28"/>
        </w:rPr>
      </w:r>
      <w:r>
        <w:rPr>
          <w:rStyle w:val="922"/>
          <w:spacing w:val="-5"/>
          <w:sz w:val="28"/>
          <w:szCs w:val="28"/>
        </w:rPr>
      </w:r>
    </w:p>
    <w:p>
      <w:pPr>
        <w:pStyle w:val="921"/>
        <w:spacing w:before="0" w:beforeAutospacing="0" w:after="0" w:afterAutospacing="0"/>
        <w:rPr>
          <w:rStyle w:val="922"/>
          <w:rFonts w:ascii="Arial" w:hAnsi="Arial" w:cs="Arial"/>
          <w:spacing w:val="-5"/>
        </w:rPr>
      </w:pPr>
      <w:r>
        <w:rPr>
          <w:rStyle w:val="922"/>
          <w:spacing w:val="-5"/>
          <w:sz w:val="28"/>
          <w:szCs w:val="28"/>
        </w:rPr>
        <w:t xml:space="preserve">6</w:t>
      </w:r>
      <w:r>
        <w:rPr>
          <w:rStyle w:val="922"/>
          <w:spacing w:val="-5"/>
          <w:sz w:val="28"/>
          <w:szCs w:val="28"/>
        </w:rPr>
        <w:t xml:space="preserve">. </w:t>
      </w:r>
      <w:r>
        <w:rPr>
          <w:rStyle w:val="922"/>
          <w:spacing w:val="-5"/>
          <w:sz w:val="28"/>
          <w:szCs w:val="28"/>
        </w:rPr>
        <w:t xml:space="preserve">Создание чётких требований к сертификации компаний-перевозчиков и операторов аэродромов</w:t>
      </w:r>
      <w:r>
        <w:rPr>
          <w:rStyle w:val="922"/>
          <w:rFonts w:ascii="Arial" w:hAnsi="Arial" w:cs="Arial"/>
          <w:spacing w:val="-5"/>
        </w:rPr>
        <w:t xml:space="preserve">.</w:t>
      </w:r>
      <w:r>
        <w:rPr>
          <w:rStyle w:val="922"/>
          <w:rFonts w:ascii="Arial" w:hAnsi="Arial" w:cs="Arial"/>
          <w:spacing w:val="-5"/>
        </w:rPr>
      </w:r>
      <w:r>
        <w:rPr>
          <w:rStyle w:val="922"/>
          <w:rFonts w:ascii="Arial" w:hAnsi="Arial" w:cs="Arial"/>
          <w:spacing w:val="-5"/>
        </w:rPr>
      </w:r>
    </w:p>
    <w:p>
      <w:pPr>
        <w:pStyle w:val="921"/>
        <w:spacing w:before="0" w:beforeAutospacing="0" w:after="0" w:afterAutospacing="0"/>
        <w:rPr>
          <w:spacing w:val="-5"/>
          <w:sz w:val="28"/>
          <w:szCs w:val="28"/>
        </w:rPr>
      </w:pPr>
      <w:r>
        <w:rPr>
          <w:rStyle w:val="922"/>
          <w:rFonts w:ascii="Arial" w:hAnsi="Arial" w:cs="Arial"/>
          <w:spacing w:val="-5"/>
        </w:rPr>
        <w:t xml:space="preserve">7</w:t>
      </w:r>
      <w:r>
        <w:rPr>
          <w:rStyle w:val="922"/>
          <w:rFonts w:ascii="Arial" w:hAnsi="Arial" w:cs="Arial"/>
          <w:spacing w:val="-5"/>
        </w:rPr>
        <w:t xml:space="preserve">.</w:t>
      </w:r>
      <w:r>
        <w:rPr>
          <w:rFonts w:ascii="Arial" w:hAnsi="Arial" w:cs="Arial"/>
          <w:spacing w:val="-5"/>
        </w:rPr>
        <w:t xml:space="preserve"> </w:t>
      </w:r>
      <w:r>
        <w:rPr>
          <w:spacing w:val="-5"/>
          <w:sz w:val="28"/>
          <w:szCs w:val="28"/>
        </w:rPr>
        <w:t xml:space="preserve">Контроль соблюдения действующих норм безопасности</w:t>
      </w:r>
      <w:r>
        <w:rPr>
          <w:spacing w:val="-5"/>
          <w:sz w:val="28"/>
          <w:szCs w:val="28"/>
        </w:rPr>
        <w:t xml:space="preserve"> и соответствия обязательным требованиям не только </w:t>
      </w:r>
      <w:r>
        <w:rPr>
          <w:spacing w:val="-5"/>
          <w:sz w:val="28"/>
          <w:szCs w:val="28"/>
        </w:rPr>
        <w:t xml:space="preserve">государственными</w:t>
      </w:r>
      <w:r>
        <w:rPr>
          <w:spacing w:val="-5"/>
          <w:sz w:val="28"/>
          <w:szCs w:val="28"/>
        </w:rPr>
        <w:t xml:space="preserve"> органами надзора</w:t>
      </w:r>
      <w:r>
        <w:rPr>
          <w:spacing w:val="-5"/>
          <w:sz w:val="28"/>
          <w:szCs w:val="28"/>
        </w:rPr>
        <w:t xml:space="preserve">, но</w:t>
      </w:r>
      <w:r>
        <w:rPr>
          <w:spacing w:val="-5"/>
          <w:sz w:val="28"/>
          <w:szCs w:val="28"/>
        </w:rPr>
        <w:t xml:space="preserve"> и авиакомпаниями</w:t>
      </w:r>
      <w:r>
        <w:rPr>
          <w:spacing w:val="-5"/>
          <w:sz w:val="28"/>
          <w:szCs w:val="28"/>
        </w:rPr>
      </w:r>
      <w:r>
        <w:rPr>
          <w:spacing w:val="-5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Увеличить размер денежных штрафов КоАП РФ гл. 11 ст.11.3, 11.5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br/>
        <w:t xml:space="preserve">по правонарушениям, которые непосредственно влияют на безопасность полетов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.Увеличение числа профилактических мероприятий. Значительный рост числа информационных мероприятий и стабилизация количества консультаций свидетельствуют о важности и результативности этих направлений работы.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.Продолжение и расширение этих инициатив будет способствовать дальнейшему снижению административных барьеров и повышению уровня осведомленности подконтрольных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Повышение безопасности полётов в гражданской авиации — приоритетная задача, направленная на минимизацию рисков и обеспечение надёжности авиаперевозок.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PT Sans">
    <w:panose1 w:val="020B0503020203020204"/>
  </w:font>
  <w:font w:name="Wingdings">
    <w:panose1 w:val="05000000000000000000"/>
  </w:font>
  <w:font w:name="Liberation Sans">
    <w:panose1 w:val="020B0604020202020204"/>
  </w:font>
  <w:font w:name="Times New Roman CYR">
    <w:panose1 w:val="020206030504050203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auto"/>
        <w:spacing w:val="-5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4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0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4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20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ffffff"/>
        <w:spacing w:val="-5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95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4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8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0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4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6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04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4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14">
    <w:abstractNumId w:val="2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Caption Char"/>
    <w:uiPriority w:val="99"/>
  </w:style>
  <w:style w:type="table" w:styleId="714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5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6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1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2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42" w:customStyle="1">
    <w:name w:val="Title Char"/>
    <w:basedOn w:val="710"/>
    <w:uiPriority w:val="10"/>
    <w:rPr>
      <w:sz w:val="48"/>
      <w:szCs w:val="48"/>
    </w:rPr>
  </w:style>
  <w:style w:type="character" w:styleId="743" w:customStyle="1">
    <w:name w:val="Subtitle Char"/>
    <w:basedOn w:val="710"/>
    <w:uiPriority w:val="11"/>
    <w:rPr>
      <w:sz w:val="24"/>
      <w:szCs w:val="24"/>
    </w:rPr>
  </w:style>
  <w:style w:type="character" w:styleId="744" w:customStyle="1">
    <w:name w:val="Quote Char"/>
    <w:uiPriority w:val="29"/>
    <w:rPr>
      <w:i/>
    </w:rPr>
  </w:style>
  <w:style w:type="character" w:styleId="745" w:customStyle="1">
    <w:name w:val="Intense Quote Char"/>
    <w:uiPriority w:val="30"/>
    <w:rPr>
      <w:i/>
    </w:rPr>
  </w:style>
  <w:style w:type="character" w:styleId="746" w:customStyle="1">
    <w:name w:val="Header Char"/>
    <w:basedOn w:val="710"/>
    <w:uiPriority w:val="99"/>
  </w:style>
  <w:style w:type="character" w:styleId="747" w:customStyle="1">
    <w:name w:val="Название объекта Знак"/>
    <w:link w:val="772"/>
    <w:uiPriority w:val="99"/>
  </w:style>
  <w:style w:type="character" w:styleId="748" w:customStyle="1">
    <w:name w:val="Footnote Text Char"/>
    <w:uiPriority w:val="99"/>
    <w:rPr>
      <w:sz w:val="18"/>
    </w:rPr>
  </w:style>
  <w:style w:type="character" w:styleId="749" w:customStyle="1">
    <w:name w:val="Endnote Text Char"/>
    <w:uiPriority w:val="99"/>
    <w:rPr>
      <w:sz w:val="20"/>
    </w:rPr>
  </w:style>
  <w:style w:type="character" w:styleId="750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5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after="0" w:line="240" w:lineRule="auto"/>
    </w:pPr>
  </w:style>
  <w:style w:type="paragraph" w:styleId="760">
    <w:name w:val="Title"/>
    <w:basedOn w:val="700"/>
    <w:next w:val="700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basedOn w:val="710"/>
    <w:link w:val="760"/>
    <w:uiPriority w:val="10"/>
    <w:rPr>
      <w:sz w:val="48"/>
      <w:szCs w:val="48"/>
    </w:rPr>
  </w:style>
  <w:style w:type="paragraph" w:styleId="762">
    <w:name w:val="Subtitle"/>
    <w:basedOn w:val="700"/>
    <w:next w:val="700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10"/>
    <w:link w:val="762"/>
    <w:uiPriority w:val="11"/>
    <w:rPr>
      <w:sz w:val="24"/>
      <w:szCs w:val="24"/>
    </w:rPr>
  </w:style>
  <w:style w:type="paragraph" w:styleId="764">
    <w:name w:val="Quote"/>
    <w:basedOn w:val="700"/>
    <w:next w:val="700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00"/>
    <w:next w:val="700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00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 w:customStyle="1">
    <w:name w:val="Верхний колонтитул Знак"/>
    <w:basedOn w:val="710"/>
    <w:link w:val="768"/>
    <w:uiPriority w:val="99"/>
  </w:style>
  <w:style w:type="paragraph" w:styleId="770">
    <w:name w:val="Footer"/>
    <w:basedOn w:val="700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 w:customStyle="1">
    <w:name w:val="Footer Char"/>
    <w:basedOn w:val="710"/>
    <w:uiPriority w:val="99"/>
  </w:style>
  <w:style w:type="paragraph" w:styleId="772">
    <w:name w:val="Caption"/>
    <w:basedOn w:val="700"/>
    <w:next w:val="700"/>
    <w:link w:val="74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3" w:customStyle="1">
    <w:name w:val="Нижний колонтитул Знак"/>
    <w:link w:val="770"/>
    <w:uiPriority w:val="99"/>
  </w:style>
  <w:style w:type="table" w:styleId="774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Таблица простая 1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21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Таблица простая 3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Таблица простая 4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 простая 5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1 светл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-сетка 2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3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4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4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6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 w:customStyle="1">
    <w:name w:val="Таблица-сетка 5 тем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Таблица-сетка 6 цвет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Таблица-сетка 7 цвет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1 светлая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2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4" w:customStyle="1">
    <w:name w:val="Список-таблица 3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4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5 тем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Список-таблица 6 цвет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8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9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0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1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2" w:customStyle="1">
    <w:name w:val="Список-таблица 7 цветная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8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9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0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1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2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3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6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7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8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9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563c1" w:themeColor="hyperlink"/>
      <w:u w:val="single"/>
    </w:rPr>
  </w:style>
  <w:style w:type="paragraph" w:styleId="901">
    <w:name w:val="footnote text"/>
    <w:basedOn w:val="700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10"/>
    <w:uiPriority w:val="99"/>
    <w:unhideWhenUsed/>
    <w:rPr>
      <w:vertAlign w:val="superscript"/>
    </w:rPr>
  </w:style>
  <w:style w:type="paragraph" w:styleId="904">
    <w:name w:val="endnote text"/>
    <w:basedOn w:val="700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10"/>
    <w:uiPriority w:val="99"/>
    <w:semiHidden/>
    <w:unhideWhenUsed/>
    <w:rPr>
      <w:vertAlign w:val="superscript"/>
    </w:rPr>
  </w:style>
  <w:style w:type="paragraph" w:styleId="907">
    <w:name w:val="toc 1"/>
    <w:basedOn w:val="700"/>
    <w:next w:val="700"/>
    <w:uiPriority w:val="39"/>
    <w:unhideWhenUsed/>
    <w:pPr>
      <w:spacing w:after="57"/>
    </w:pPr>
  </w:style>
  <w:style w:type="paragraph" w:styleId="908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909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910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911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912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913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914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915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00"/>
    <w:next w:val="700"/>
    <w:uiPriority w:val="99"/>
    <w:unhideWhenUsed/>
    <w:pPr>
      <w:spacing w:after="0"/>
    </w:pPr>
  </w:style>
  <w:style w:type="paragraph" w:styleId="918">
    <w:name w:val="List Paragraph"/>
    <w:basedOn w:val="700"/>
    <w:uiPriority w:val="34"/>
    <w:qFormat/>
    <w:pPr>
      <w:contextualSpacing/>
      <w:ind w:left="720"/>
    </w:pPr>
  </w:style>
  <w:style w:type="paragraph" w:styleId="919">
    <w:name w:val="Balloon Text"/>
    <w:basedOn w:val="700"/>
    <w:link w:val="9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0" w:customStyle="1">
    <w:name w:val="Текст выноски Знак"/>
    <w:basedOn w:val="710"/>
    <w:link w:val="919"/>
    <w:uiPriority w:val="99"/>
    <w:semiHidden/>
    <w:rPr>
      <w:rFonts w:ascii="Segoe UI" w:hAnsi="Segoe UI" w:cs="Segoe UI"/>
      <w:sz w:val="18"/>
      <w:szCs w:val="18"/>
    </w:rPr>
  </w:style>
  <w:style w:type="paragraph" w:styleId="921" w:customStyle="1">
    <w:name w:val="sc-fwqkxp"/>
    <w:basedOn w:val="7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sc-dubctv"/>
    <w:basedOn w:val="710"/>
  </w:style>
  <w:style w:type="paragraph" w:styleId="923" w:customStyle="1">
    <w:name w:val="Нормальный (таблица)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5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Внеплановые проверки 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  <a:bevel/>
        </a:ln>
      </c:spPr>
    </c:backWall>
    <c:plotArea>
      <c:layout>
        <c:manualLayout>
          <c:layoutTarget val="inner"/>
          <c:xMode val="edge"/>
          <c:yMode val="edge"/>
          <c:x val="0.063850"/>
          <c:y val="0.283660"/>
          <c:w val="0.941480"/>
          <c:h val="0.55208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5B9BD5"/>
            </a:solidFill>
            <a:ln>
              <a:noFill/>
            </a:ln>
          </c:spPr>
          <c:invertIfNegative val="1"/>
          <c:cat>
            <c:strRef>
              <c:f>Лист1!$A$2:$A$5</c:f>
              <c:strCache>
                <c:ptCount val="4"/>
                <c:pt idx="0">
                  <c:v xml:space="preserve">Количество проверок</c:v>
                </c:pt>
                <c:pt idx="1">
                  <c:v xml:space="preserve">Выдано предписаний</c:v>
                </c:pt>
                <c:pt idx="2">
                  <c:v xml:space="preserve">Выявлено нарушений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D7D31"/>
            </a:solidFill>
            <a:ln>
              <a:noFill/>
            </a:ln>
          </c:spPr>
          <c:invertIfNegative val="1"/>
          <c:cat>
            <c:strRef>
              <c:f>Лист1!$A$2:$A$5</c:f>
              <c:strCache>
                <c:ptCount val="4"/>
                <c:pt idx="0">
                  <c:v xml:space="preserve">Количество проверок</c:v>
                </c:pt>
                <c:pt idx="1">
                  <c:v xml:space="preserve">Выдано предписаний</c:v>
                </c:pt>
                <c:pt idx="2">
                  <c:v xml:space="preserve">Выявлено нарушений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90001"/>
        <c:axId val="2140790002"/>
      </c:bar3DChart>
      <c:catAx>
        <c:axId val="214079000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90002"/>
        <c:crosses val="autoZero"/>
        <c:auto val="1"/>
        <c:lblAlgn val="ctr"/>
        <c:lblOffset val="100"/>
        <c:tickMarkSkip val="1"/>
        <c:noMultiLvlLbl val="0"/>
      </c:catAx>
      <c:valAx>
        <c:axId val="214079000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.00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9000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347989" cy="3842839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Специальный режим</a:t>
            </a:r>
            <a:endParaRPr/>
          </a:p>
        </c:rich>
      </c:tx>
      <c:layout>
        <c:manualLayout>
          <c:xMode val="edge"/>
          <c:yMode val="edge"/>
          <c:x val="0.377440"/>
          <c:y val="0.025250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Lbls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Количество проведённых мероприятий</c:v>
                </c:pt>
                <c:pt idx="1">
                  <c:v xml:space="preserve">из них транспортных средств</c:v>
                </c:pt>
                <c:pt idx="2">
                  <c:v xml:space="preserve">из них объекты транспортной инфраструктуры</c:v>
                </c:pt>
                <c:pt idx="3">
                  <c:v xml:space="preserve">Количество выданных предписаний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460</c:v>
                </c:pt>
                <c:pt idx="1">
                  <c:v>382</c:v>
                </c:pt>
                <c:pt idx="2">
                  <c:v>78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>
              <a:noFill/>
            </a:ln>
          </c:spPr>
          <c:invertIfNegative val="0"/>
          <c:dLbls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0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Количество проведённых мероприятий</c:v>
                </c:pt>
                <c:pt idx="1">
                  <c:v xml:space="preserve">из них транспортных средств</c:v>
                </c:pt>
                <c:pt idx="2">
                  <c:v xml:space="preserve">из них объекты транспортной инфраструктуры</c:v>
                </c:pt>
                <c:pt idx="3">
                  <c:v xml:space="preserve">Количество выданных предписаний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616</c:v>
                </c:pt>
                <c:pt idx="1">
                  <c:v>511</c:v>
                </c:pt>
                <c:pt idx="2">
                  <c:v>105</c:v>
                </c:pt>
                <c:pt idx="3">
                  <c:v>115</c:v>
                </c:pt>
              </c:numCache>
            </c:numRef>
          </c:val>
        </c:ser>
        <c:dLbls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0"/>
        </c:dLbls>
        <c:gapWidth val="150"/>
        <c:shape val="box"/>
        <c:axId val="2140790061"/>
        <c:axId val="2140790062"/>
      </c:bar3DChart>
      <c:catAx>
        <c:axId val="214079006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90062"/>
        <c:crosses val="autoZero"/>
        <c:auto val="1"/>
        <c:lblAlgn val="ctr"/>
        <c:lblOffset val="100"/>
        <c:tickMarkSkip val="1"/>
        <c:noMultiLvlLbl val="0"/>
      </c:catAx>
      <c:valAx>
        <c:axId val="214079006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9006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791203" cy="4148151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052580"/>
          <c:y val="0.002480"/>
          <c:w val="0.945780"/>
          <c:h val="0.847470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Лист1!$B$10:$B$11</c:f>
              <c:strCache>
                <c:ptCount val="2"/>
                <c:pt idx="1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</c:spPr>
          <c:invertIfNegative val="0"/>
          <c:cat>
            <c:strRef>
              <c:f>Лист1!$A$12:$A$16</c:f>
              <c:strCache>
                <c:ptCount val="5"/>
                <c:pt idx="0">
                  <c:v xml:space="preserve">Информирование, ед.</c:v>
                </c:pt>
                <c:pt idx="1">
                  <c:v xml:space="preserve">Объявление предостережения, ед.</c:v>
                </c:pt>
                <c:pt idx="2">
                  <c:v xml:space="preserve">Консультирование, ед.</c:v>
                </c:pt>
                <c:pt idx="3">
                  <c:v xml:space="preserve">Профилактический визит, ед.</c:v>
                </c:pt>
                <c:pt idx="4">
                  <c:v xml:space="preserve">Из них обязательных ПВ, ед.</c:v>
                </c:pt>
              </c:strCache>
            </c:strRef>
          </c:cat>
          <c:val>
            <c:numRef>
              <c:f>Лист1!$B$12:$B$16</c:f>
              <c:numCache>
                <c:formatCode>General</c:formatCode>
                <c:ptCount val="5"/>
                <c:pt idx="0">
                  <c:v>52</c:v>
                </c:pt>
                <c:pt idx="1">
                  <c:v>54</c:v>
                </c:pt>
                <c:pt idx="2">
                  <c:v>291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Лист1!$C$10:$C$11</c:f>
              <c:strCache>
                <c:ptCount val="2"/>
                <c:pt idx="1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</c:spPr>
          <c:invertIfNegative val="0"/>
          <c:cat>
            <c:strRef>
              <c:f>Лист1!$A$12:$A$16</c:f>
              <c:strCache>
                <c:ptCount val="5"/>
                <c:pt idx="0">
                  <c:v xml:space="preserve">Информирование, ед.</c:v>
                </c:pt>
                <c:pt idx="1">
                  <c:v xml:space="preserve">Объявление предостережения, ед.</c:v>
                </c:pt>
                <c:pt idx="2">
                  <c:v xml:space="preserve">Консультирование, ед.</c:v>
                </c:pt>
                <c:pt idx="3">
                  <c:v xml:space="preserve">Профилактический визит, ед.</c:v>
                </c:pt>
                <c:pt idx="4">
                  <c:v xml:space="preserve">Из них обязательных ПВ, ед.</c:v>
                </c:pt>
              </c:strCache>
            </c:strRef>
          </c:cat>
          <c:val>
            <c:numRef>
              <c:f>Лист1!$C$12:$C$16</c:f>
              <c:numCache>
                <c:formatCode>General</c:formatCode>
                <c:ptCount val="5"/>
                <c:pt idx="0">
                  <c:v>7</c:v>
                </c:pt>
                <c:pt idx="1">
                  <c:v>23</c:v>
                </c:pt>
                <c:pt idx="2">
                  <c:v>205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5"/>
        <c:shape val="box"/>
        <c:axId val="2140790083"/>
        <c:axId val="2140790084"/>
      </c:bar3DChart>
      <c:catAx>
        <c:axId val="21407900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</c:spPr>
        <c:txPr>
          <a:bodyPr/>
          <a:lstStyle/>
          <a:p>
            <a:pPr>
              <a:defRPr sz="900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90084"/>
        <c:crosses val="autoZero"/>
        <c:auto val="1"/>
        <c:lblAlgn val="ctr"/>
        <c:lblOffset val="100"/>
        <c:tickMarkSkip val="1"/>
        <c:noMultiLvlLbl val="0"/>
      </c:catAx>
      <c:valAx>
        <c:axId val="2140790084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079008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6429397" cy="3829044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452610"/>
          <c:y val="0.119410"/>
          <c:w val="0.947710"/>
          <c:h val="0.846320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Лист1!$B$19:$B$20</c:f>
              <c:strCache>
                <c:ptCount val="2"/>
                <c:pt idx="1">
                  <c:v>2024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</c:spPr>
          <c:invertIfNegative val="1"/>
          <c:cat>
            <c:strRef>
              <c:f>Лист1!$A$21:$A$25</c:f>
              <c:strCache>
                <c:ptCount val="5"/>
                <c:pt idx="0">
                  <c:v xml:space="preserve">Кол-во вынесенных постановлений </c:v>
                </c:pt>
                <c:pt idx="1">
                  <c:v xml:space="preserve">Кол-во исполненных постановлений</c:v>
                </c:pt>
                <c:pt idx="2">
                  <c:v xml:space="preserve">Общая сумма наложенных штрафов - всего, тыс. руб.:</c:v>
                </c:pt>
                <c:pt idx="3">
                  <c:v xml:space="preserve">Сумма взысканных (уплаченных) штрафов, тыс. рублей:</c:v>
                </c:pt>
              </c:strCache>
            </c:strRef>
          </c:cat>
          <c:val>
            <c:numRef>
              <c:f>Лист1!$B$21:$B$25</c:f>
              <c:numCache>
                <c:formatCode>General</c:formatCode>
                <c:ptCount val="5"/>
                <c:pt idx="0">
                  <c:v>63</c:v>
                </c:pt>
                <c:pt idx="1">
                  <c:v>62</c:v>
                </c:pt>
                <c:pt idx="2">
                  <c:v>1302</c:v>
                </c:pt>
                <c:pt idx="3">
                  <c:v>830</c:v>
                </c:pt>
              </c:numCache>
            </c:numRef>
          </c:val>
        </c:ser>
        <c:ser>
          <c:idx val="1"/>
          <c:order val="1"/>
          <c:tx>
            <c:strRef>
              <c:f>Лист1!$C$19:$C$20</c:f>
              <c:strCache>
                <c:ptCount val="2"/>
                <c:pt idx="1">
                  <c:v>2025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</c:spPr>
          <c:invertIfNegative val="1"/>
          <c:cat>
            <c:strRef>
              <c:f>Лист1!$A$21:$A$25</c:f>
              <c:strCache>
                <c:ptCount val="5"/>
                <c:pt idx="0">
                  <c:v xml:space="preserve">Кол-во вынесенных постановлений </c:v>
                </c:pt>
                <c:pt idx="1">
                  <c:v xml:space="preserve">Кол-во исполненных постановлений</c:v>
                </c:pt>
                <c:pt idx="2">
                  <c:v xml:space="preserve">Общая сумма наложенных штрафов - всего, тыс. руб.:</c:v>
                </c:pt>
                <c:pt idx="3">
                  <c:v xml:space="preserve">Сумма взысканных (уплаченных) штрафов, тыс. рублей:</c:v>
                </c:pt>
              </c:strCache>
            </c:strRef>
          </c:cat>
          <c:val>
            <c:numRef>
              <c:f>Лист1!$C$21:$C$25</c:f>
              <c:numCache>
                <c:formatCode>General</c:formatCode>
                <c:ptCount val="5"/>
                <c:pt idx="0">
                  <c:v>38</c:v>
                </c:pt>
                <c:pt idx="1">
                  <c:v>35</c:v>
                </c:pt>
                <c:pt idx="2">
                  <c:v>861.5</c:v>
                </c:pt>
                <c:pt idx="3">
                  <c:v>419.5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90097"/>
        <c:axId val="2140790098"/>
      </c:bar3DChart>
      <c:catAx>
        <c:axId val="2140790097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2"/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90098"/>
        <c:crosses val="autoZero"/>
        <c:auto val="1"/>
        <c:lblAlgn val="ctr"/>
        <c:lblOffset val="100"/>
        <c:noMultiLvlLbl val="0"/>
      </c:catAx>
      <c:valAx>
        <c:axId val="214079009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2"/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9009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6581784" cy="3952873"/>
    </a:xfrm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chemeClr val="tx2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  <a:miter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  <a:miter/>
        </a:ln>
      </c:spPr>
    </c:backWall>
    <c:plotArea>
      <c:layout>
        <c:manualLayout>
          <c:layoutTarget val="inner"/>
          <c:xMode val="edge"/>
          <c:yMode val="edge"/>
          <c:x val="0.143510"/>
          <c:y val="0.348660"/>
          <c:w val="0.802370"/>
          <c:h val="0.447290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Лист1!$B$29:$B$30</c:f>
              <c:strCache>
                <c:ptCount val="2"/>
                <c:pt idx="1">
                  <c:v>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5B9BD5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1"/>
          <c:cat>
            <c:strRef>
              <c:f>Лист1!$A$31:$A$38</c:f>
              <c:strCache>
                <c:ptCount val="8"/>
                <c:pt idx="0">
                  <c:v xml:space="preserve">Авиационных инцидентов</c:v>
                </c:pt>
                <c:pt idx="1">
                  <c:v xml:space="preserve">Серьёзный инцидент</c:v>
                </c:pt>
                <c:pt idx="2">
                  <c:v>ЧП</c:v>
                </c:pt>
                <c:pt idx="3">
                  <c:v xml:space="preserve">Повреждений ВС</c:v>
                </c:pt>
                <c:pt idx="4">
                  <c:v>НПИВП</c:v>
                </c:pt>
                <c:pt idx="5">
                  <c:v>Авария</c:v>
                </c:pt>
                <c:pt idx="6">
                  <c:v>Катастрофы</c:v>
                </c:pt>
                <c:pt idx="7">
                  <c:v>Погибших</c:v>
                </c:pt>
              </c:strCache>
            </c:strRef>
          </c:cat>
          <c:val>
            <c:numRef>
              <c:f>Лист1!$B$31:$B$38</c:f>
              <c:numCache>
                <c:formatCode>General</c:formatCode>
                <c:ptCount val="8"/>
                <c:pt idx="0">
                  <c:v>37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Лист1!$C$29:$C$30</c:f>
              <c:strCache>
                <c:ptCount val="2"/>
                <c:pt idx="1">
                  <c:v>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D7D31"/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1"/>
          <c:cat>
            <c:strRef>
              <c:f>Лист1!$A$31:$A$38</c:f>
              <c:strCache>
                <c:ptCount val="8"/>
                <c:pt idx="0">
                  <c:v xml:space="preserve">Авиационных инцидентов</c:v>
                </c:pt>
                <c:pt idx="1">
                  <c:v xml:space="preserve">Серьёзный инцидент</c:v>
                </c:pt>
                <c:pt idx="2">
                  <c:v>ЧП</c:v>
                </c:pt>
                <c:pt idx="3">
                  <c:v xml:space="preserve">Повреждений ВС</c:v>
                </c:pt>
                <c:pt idx="4">
                  <c:v>НПИВП</c:v>
                </c:pt>
                <c:pt idx="5">
                  <c:v>Авария</c:v>
                </c:pt>
                <c:pt idx="6">
                  <c:v>Катастрофы</c:v>
                </c:pt>
                <c:pt idx="7">
                  <c:v>Погибших</c:v>
                </c:pt>
              </c:strCache>
            </c:strRef>
          </c:cat>
          <c:val>
            <c:numRef>
              <c:f>Лист1!$C$31:$C$38</c:f>
              <c:numCache>
                <c:formatCode>General</c:formatCode>
                <c:ptCount val="8"/>
                <c:pt idx="0">
                  <c:v>43</c:v>
                </c:pt>
                <c:pt idx="1">
                  <c:v>3</c:v>
                </c:pt>
                <c:pt idx="2">
                  <c:v>1</c:v>
                </c:pt>
                <c:pt idx="3">
                  <c:v>7</c:v>
                </c:pt>
                <c:pt idx="4">
                  <c:v>8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box"/>
        <c:axId val="2140789999"/>
        <c:axId val="2140790000"/>
      </c:bar3DChart>
      <c:catAx>
        <c:axId val="2140789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50000"/>
                    <a:lumOff val="50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90000"/>
        <c:crosses val="autoZero"/>
        <c:auto val="1"/>
        <c:lblAlgn val="ctr"/>
        <c:lblOffset val="100"/>
        <c:noMultiLvlLbl val="0"/>
      </c:catAx>
      <c:valAx>
        <c:axId val="214079000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50000"/>
                    <a:lumOff val="50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214078999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6296131" cy="324292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D520-CCD6-4F27-A48C-E4A6B365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41</cp:revision>
  <dcterms:created xsi:type="dcterms:W3CDTF">2025-01-24T11:02:00Z</dcterms:created>
  <dcterms:modified xsi:type="dcterms:W3CDTF">2025-07-08T08:45:52Z</dcterms:modified>
</cp:coreProperties>
</file>